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BE6E5E" w:rsidRPr="00BE6E5E" w:rsidTr="00BE6E5E">
        <w:trPr>
          <w:jc w:val="center"/>
        </w:trPr>
        <w:tc>
          <w:tcPr>
            <w:tcW w:w="3348" w:type="dxa"/>
            <w:tcBorders>
              <w:top w:val="nil"/>
              <w:left w:val="nil"/>
              <w:bottom w:val="nil"/>
              <w:right w:val="nil"/>
            </w:tcBorders>
            <w:tcMar>
              <w:top w:w="0" w:type="dxa"/>
              <w:left w:w="108" w:type="dxa"/>
              <w:bottom w:w="0" w:type="dxa"/>
              <w:right w:w="108" w:type="dxa"/>
            </w:tcMar>
            <w:hideMark/>
          </w:tcPr>
          <w:p w:rsidR="00BE6E5E" w:rsidRPr="00BE6E5E" w:rsidRDefault="00BE6E5E" w:rsidP="00BE6E5E">
            <w:pPr>
              <w:spacing w:before="120" w:after="0" w:line="240" w:lineRule="auto"/>
              <w:jc w:val="center"/>
              <w:rPr>
                <w:rFonts w:eastAsia="Times New Roman" w:cs="Times New Roman"/>
                <w:szCs w:val="24"/>
                <w:lang w:eastAsia="vi-VN"/>
              </w:rPr>
            </w:pPr>
            <w:r w:rsidRPr="00BE6E5E">
              <w:rPr>
                <w:rFonts w:eastAsia="Times New Roman" w:cs="Times New Roman"/>
                <w:b/>
                <w:bCs/>
                <w:szCs w:val="24"/>
                <w:lang w:eastAsia="vi-VN"/>
              </w:rPr>
              <w:t>CHÍNH PHỦ</w:t>
            </w:r>
            <w:r w:rsidRPr="00BE6E5E">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BE6E5E" w:rsidRPr="00BE6E5E" w:rsidRDefault="00BE6E5E" w:rsidP="00BE6E5E">
            <w:pPr>
              <w:spacing w:before="120" w:after="0" w:line="240" w:lineRule="auto"/>
              <w:jc w:val="center"/>
              <w:rPr>
                <w:rFonts w:eastAsia="Times New Roman" w:cs="Times New Roman"/>
                <w:szCs w:val="24"/>
                <w:lang w:eastAsia="vi-VN"/>
              </w:rPr>
            </w:pPr>
            <w:r w:rsidRPr="00BE6E5E">
              <w:rPr>
                <w:rFonts w:eastAsia="Times New Roman" w:cs="Times New Roman"/>
                <w:b/>
                <w:bCs/>
                <w:szCs w:val="24"/>
                <w:lang w:eastAsia="vi-VN"/>
              </w:rPr>
              <w:t>CỘNG HÒA XÃ HỘI CHỦ NGHĨA VIỆT NAM</w:t>
            </w:r>
            <w:r w:rsidRPr="00BE6E5E">
              <w:rPr>
                <w:rFonts w:eastAsia="Times New Roman" w:cs="Times New Roman"/>
                <w:b/>
                <w:bCs/>
                <w:szCs w:val="24"/>
                <w:lang w:eastAsia="vi-VN"/>
              </w:rPr>
              <w:br/>
              <w:t xml:space="preserve">Độc lập - Tự do - Hạnh phúc </w:t>
            </w:r>
            <w:r w:rsidRPr="00BE6E5E">
              <w:rPr>
                <w:rFonts w:eastAsia="Times New Roman" w:cs="Times New Roman"/>
                <w:b/>
                <w:bCs/>
                <w:szCs w:val="24"/>
                <w:lang w:eastAsia="vi-VN"/>
              </w:rPr>
              <w:br/>
              <w:t>---------------</w:t>
            </w:r>
          </w:p>
        </w:tc>
      </w:tr>
      <w:tr w:rsidR="00BE6E5E" w:rsidRPr="00BE6E5E" w:rsidTr="00BE6E5E">
        <w:trPr>
          <w:jc w:val="center"/>
        </w:trPr>
        <w:tc>
          <w:tcPr>
            <w:tcW w:w="3348" w:type="dxa"/>
            <w:tcBorders>
              <w:top w:val="nil"/>
              <w:left w:val="nil"/>
              <w:bottom w:val="nil"/>
              <w:right w:val="nil"/>
            </w:tcBorders>
            <w:tcMar>
              <w:top w:w="0" w:type="dxa"/>
              <w:left w:w="108" w:type="dxa"/>
              <w:bottom w:w="0" w:type="dxa"/>
              <w:right w:w="108" w:type="dxa"/>
            </w:tcMar>
            <w:hideMark/>
          </w:tcPr>
          <w:p w:rsidR="00BE6E5E" w:rsidRPr="00BE6E5E" w:rsidRDefault="00BE6E5E" w:rsidP="00BE6E5E">
            <w:pPr>
              <w:spacing w:before="120" w:after="0" w:line="240" w:lineRule="auto"/>
              <w:jc w:val="center"/>
              <w:rPr>
                <w:rFonts w:eastAsia="Times New Roman" w:cs="Times New Roman"/>
                <w:szCs w:val="24"/>
                <w:lang w:eastAsia="vi-VN"/>
              </w:rPr>
            </w:pPr>
            <w:r w:rsidRPr="00BE6E5E">
              <w:rPr>
                <w:rFonts w:eastAsia="Times New Roman" w:cs="Times New Roman"/>
                <w:szCs w:val="24"/>
                <w:lang w:eastAsia="vi-VN"/>
              </w:rPr>
              <w:t>Số: 148/2016/NĐ-CP</w:t>
            </w:r>
          </w:p>
        </w:tc>
        <w:tc>
          <w:tcPr>
            <w:tcW w:w="5508" w:type="dxa"/>
            <w:tcBorders>
              <w:top w:val="nil"/>
              <w:left w:val="nil"/>
              <w:bottom w:val="nil"/>
              <w:right w:val="nil"/>
            </w:tcBorders>
            <w:tcMar>
              <w:top w:w="0" w:type="dxa"/>
              <w:left w:w="108" w:type="dxa"/>
              <w:bottom w:w="0" w:type="dxa"/>
              <w:right w:w="108" w:type="dxa"/>
            </w:tcMar>
            <w:hideMark/>
          </w:tcPr>
          <w:p w:rsidR="00BE6E5E" w:rsidRPr="00BE6E5E" w:rsidRDefault="00BE6E5E" w:rsidP="00BE6E5E">
            <w:pPr>
              <w:spacing w:before="120" w:after="0" w:line="240" w:lineRule="auto"/>
              <w:jc w:val="right"/>
              <w:rPr>
                <w:rFonts w:eastAsia="Times New Roman" w:cs="Times New Roman"/>
                <w:szCs w:val="24"/>
                <w:lang w:eastAsia="vi-VN"/>
              </w:rPr>
            </w:pPr>
            <w:r w:rsidRPr="00BE6E5E">
              <w:rPr>
                <w:rFonts w:eastAsia="Times New Roman" w:cs="Times New Roman"/>
                <w:i/>
                <w:iCs/>
                <w:szCs w:val="24"/>
                <w:lang w:eastAsia="vi-VN"/>
              </w:rPr>
              <w:t>Hà Nội, ngày 04 tháng 11 năm 2016</w:t>
            </w:r>
          </w:p>
        </w:tc>
      </w:tr>
    </w:tbl>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 </w:t>
      </w:r>
    </w:p>
    <w:p w:rsidR="00BE6E5E" w:rsidRPr="00BE6E5E" w:rsidRDefault="00BE6E5E" w:rsidP="00BE6E5E">
      <w:pPr>
        <w:spacing w:before="120" w:after="100" w:afterAutospacing="1" w:line="240" w:lineRule="auto"/>
        <w:jc w:val="center"/>
        <w:rPr>
          <w:rFonts w:eastAsia="Times New Roman" w:cs="Times New Roman"/>
          <w:szCs w:val="24"/>
          <w:lang w:eastAsia="vi-VN"/>
        </w:rPr>
      </w:pPr>
      <w:r w:rsidRPr="00BE6E5E">
        <w:rPr>
          <w:rFonts w:eastAsia="Times New Roman" w:cs="Times New Roman"/>
          <w:b/>
          <w:bCs/>
          <w:szCs w:val="24"/>
          <w:lang w:eastAsia="vi-VN"/>
        </w:rPr>
        <w:t>NGHỊ ĐỊNH</w:t>
      </w:r>
    </w:p>
    <w:p w:rsidR="00BE6E5E" w:rsidRPr="00BE6E5E" w:rsidRDefault="00BE6E5E" w:rsidP="00BE6E5E">
      <w:pPr>
        <w:spacing w:before="120" w:after="100" w:afterAutospacing="1" w:line="240" w:lineRule="auto"/>
        <w:jc w:val="center"/>
        <w:rPr>
          <w:rFonts w:eastAsia="Times New Roman" w:cs="Times New Roman"/>
          <w:szCs w:val="24"/>
          <w:lang w:eastAsia="vi-VN"/>
        </w:rPr>
      </w:pPr>
      <w:r w:rsidRPr="00BE6E5E">
        <w:rPr>
          <w:rFonts w:eastAsia="Times New Roman" w:cs="Times New Roman"/>
          <w:szCs w:val="24"/>
          <w:lang w:eastAsia="vi-VN"/>
        </w:rPr>
        <w:t>QUY ĐỊNH CHI TIẾT THI HÀNH MỘT SỐ ĐIỀU CỦA PHÁP LỆNH QUẢN LÝ THỊ TRƯỜNG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i/>
          <w:iCs/>
          <w:szCs w:val="24"/>
          <w:lang w:eastAsia="vi-VN"/>
        </w:rPr>
        <w:t xml:space="preserve">Căn cứ Luật tổ chức Chính phủ ngày 19 </w:t>
      </w:r>
      <w:r w:rsidRPr="00BE6E5E">
        <w:rPr>
          <w:rFonts w:eastAsia="Times New Roman" w:cs="Times New Roman"/>
          <w:i/>
          <w:iCs/>
          <w:szCs w:val="24"/>
          <w:shd w:val="solid" w:color="FFFFFF" w:fill="auto"/>
          <w:lang w:eastAsia="vi-VN"/>
        </w:rPr>
        <w:t>tháng</w:t>
      </w:r>
      <w:r w:rsidRPr="00BE6E5E">
        <w:rPr>
          <w:rFonts w:eastAsia="Times New Roman" w:cs="Times New Roman"/>
          <w:i/>
          <w:iCs/>
          <w:szCs w:val="24"/>
          <w:lang w:eastAsia="vi-VN"/>
        </w:rPr>
        <w:t xml:space="preserve"> 6 năm 2015;</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i/>
          <w:iCs/>
          <w:szCs w:val="24"/>
          <w:lang w:eastAsia="vi-VN"/>
        </w:rPr>
        <w:t>Căn cứ Luật cán bộ, công chức ngày 13 tháng 11 năm 2008;</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i/>
          <w:iCs/>
          <w:szCs w:val="24"/>
          <w:lang w:eastAsia="vi-VN"/>
        </w:rPr>
        <w:t>Căn cứ Luật quản lý, sử dụng tài sản nhà nước ngày 03 tháng 6 năm 2008;</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i/>
          <w:iCs/>
          <w:szCs w:val="24"/>
          <w:lang w:eastAsia="vi-VN"/>
        </w:rPr>
        <w:t xml:space="preserve">Căn cứ Luật ngân sách nhà nước ngày 25 </w:t>
      </w:r>
      <w:r w:rsidRPr="00BE6E5E">
        <w:rPr>
          <w:rFonts w:eastAsia="Times New Roman" w:cs="Times New Roman"/>
          <w:i/>
          <w:iCs/>
          <w:szCs w:val="24"/>
          <w:shd w:val="solid" w:color="FFFFFF" w:fill="auto"/>
          <w:lang w:eastAsia="vi-VN"/>
        </w:rPr>
        <w:t>tháng</w:t>
      </w:r>
      <w:r w:rsidRPr="00BE6E5E">
        <w:rPr>
          <w:rFonts w:eastAsia="Times New Roman" w:cs="Times New Roman"/>
          <w:i/>
          <w:iCs/>
          <w:szCs w:val="24"/>
          <w:lang w:eastAsia="vi-VN"/>
        </w:rPr>
        <w:t xml:space="preserve"> 6 năm 2015;</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i/>
          <w:iCs/>
          <w:szCs w:val="24"/>
          <w:lang w:eastAsia="vi-VN"/>
        </w:rPr>
        <w:t xml:space="preserve">Căn cứ Pháp lệnh </w:t>
      </w:r>
      <w:r w:rsidRPr="00BE6E5E">
        <w:rPr>
          <w:rFonts w:eastAsia="Times New Roman" w:cs="Times New Roman"/>
          <w:i/>
          <w:iCs/>
          <w:szCs w:val="24"/>
          <w:shd w:val="solid" w:color="FFFFFF" w:fill="auto"/>
          <w:lang w:eastAsia="vi-VN"/>
        </w:rPr>
        <w:t>quản lý</w:t>
      </w:r>
      <w:r w:rsidRPr="00BE6E5E">
        <w:rPr>
          <w:rFonts w:eastAsia="Times New Roman" w:cs="Times New Roman"/>
          <w:i/>
          <w:iCs/>
          <w:szCs w:val="24"/>
          <w:lang w:eastAsia="vi-VN"/>
        </w:rPr>
        <w:t xml:space="preserve">, sử dụng vũ khí, vật liệu nổ và công cụ </w:t>
      </w:r>
      <w:r w:rsidRPr="00BE6E5E">
        <w:rPr>
          <w:rFonts w:eastAsia="Times New Roman" w:cs="Times New Roman"/>
          <w:i/>
          <w:iCs/>
          <w:szCs w:val="24"/>
          <w:shd w:val="solid" w:color="FFFFFF" w:fill="auto"/>
          <w:lang w:eastAsia="vi-VN"/>
        </w:rPr>
        <w:t>hỗ trợ</w:t>
      </w:r>
      <w:r w:rsidRPr="00BE6E5E">
        <w:rPr>
          <w:rFonts w:eastAsia="Times New Roman" w:cs="Times New Roman"/>
          <w:i/>
          <w:iCs/>
          <w:szCs w:val="24"/>
          <w:lang w:eastAsia="vi-VN"/>
        </w:rPr>
        <w:t xml:space="preserve"> ngày 30 tháng 6 năm 2011;</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i/>
          <w:iCs/>
          <w:szCs w:val="24"/>
          <w:lang w:eastAsia="vi-VN"/>
        </w:rPr>
        <w:t>Căn cứ Pháp lệnh Quản lý thị trường ngày 08 tháng 3 năm 2016;</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i/>
          <w:iCs/>
          <w:szCs w:val="24"/>
          <w:lang w:eastAsia="vi-VN"/>
        </w:rPr>
        <w:t>Theo đề nghị của Bộ trưởng Bộ Công Thương,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i/>
          <w:iCs/>
          <w:szCs w:val="24"/>
          <w:lang w:eastAsia="vi-VN"/>
        </w:rPr>
        <w:t xml:space="preserve">Chính phủ ban hành Nghị định quy định chi tiết thi hành một số </w:t>
      </w:r>
      <w:r w:rsidRPr="00BE6E5E">
        <w:rPr>
          <w:rFonts w:eastAsia="Times New Roman" w:cs="Times New Roman"/>
          <w:i/>
          <w:iCs/>
          <w:szCs w:val="24"/>
          <w:shd w:val="solid" w:color="FFFFFF" w:fill="auto"/>
          <w:lang w:eastAsia="vi-VN"/>
        </w:rPr>
        <w:t>điều</w:t>
      </w:r>
      <w:r w:rsidRPr="00BE6E5E">
        <w:rPr>
          <w:rFonts w:eastAsia="Times New Roman" w:cs="Times New Roman"/>
          <w:i/>
          <w:iCs/>
          <w:szCs w:val="24"/>
          <w:lang w:eastAsia="vi-VN"/>
        </w:rPr>
        <w:t xml:space="preserve"> của Pháp lệnh Quản lý thị trường.</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b/>
          <w:bCs/>
          <w:szCs w:val="24"/>
          <w:lang w:eastAsia="vi-VN"/>
        </w:rPr>
        <w:t>Chương I</w:t>
      </w:r>
    </w:p>
    <w:p w:rsidR="00BE6E5E" w:rsidRPr="00BE6E5E" w:rsidRDefault="00BE6E5E" w:rsidP="00BE6E5E">
      <w:pPr>
        <w:spacing w:before="120" w:after="100" w:afterAutospacing="1" w:line="240" w:lineRule="auto"/>
        <w:jc w:val="center"/>
        <w:rPr>
          <w:rFonts w:eastAsia="Times New Roman" w:cs="Times New Roman"/>
          <w:szCs w:val="24"/>
          <w:lang w:val="en-US" w:eastAsia="vi-VN"/>
        </w:rPr>
      </w:pPr>
      <w:r w:rsidRPr="00BE6E5E">
        <w:rPr>
          <w:rFonts w:eastAsia="Times New Roman" w:cs="Times New Roman"/>
          <w:b/>
          <w:bCs/>
          <w:szCs w:val="24"/>
          <w:lang w:eastAsia="vi-VN"/>
        </w:rPr>
        <w:t>QUY ĐỊNH CHUNG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b/>
          <w:bCs/>
          <w:szCs w:val="24"/>
          <w:lang w:eastAsia="vi-VN"/>
        </w:rPr>
        <w:t>Điều 1. Phạm vi điều chỉnh</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 xml:space="preserve">Nghị định này quy định về ngạch công chức Quản lý thị trường; phương tiện làm việc, trang phục của lực lượng Quản lý thị trường; </w:t>
      </w:r>
      <w:r w:rsidRPr="00BE6E5E">
        <w:rPr>
          <w:rFonts w:eastAsia="Times New Roman" w:cs="Times New Roman"/>
          <w:szCs w:val="24"/>
          <w:shd w:val="solid" w:color="FFFFFF" w:fill="auto"/>
          <w:lang w:eastAsia="vi-VN"/>
        </w:rPr>
        <w:t>thẩm quyền</w:t>
      </w:r>
      <w:r w:rsidRPr="00BE6E5E">
        <w:rPr>
          <w:rFonts w:eastAsia="Times New Roman" w:cs="Times New Roman"/>
          <w:szCs w:val="24"/>
          <w:lang w:eastAsia="vi-VN"/>
        </w:rPr>
        <w:t xml:space="preserve"> ban hành quyết định kiểm tra.</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b/>
          <w:bCs/>
          <w:szCs w:val="24"/>
          <w:lang w:eastAsia="vi-VN"/>
        </w:rPr>
        <w:t>Điều 2. Đối tượng áp dụng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1. Cơ quan, công chức Quản lý thị trường.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2. Cơ quan, tổ chức, cá nhân khác có liên quan đến tổ chức và hoạt động của lực lượng Quản lý thị trường.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b/>
          <w:bCs/>
          <w:szCs w:val="24"/>
          <w:lang w:eastAsia="vi-VN"/>
        </w:rPr>
        <w:t>Chương II</w:t>
      </w:r>
    </w:p>
    <w:p w:rsidR="00BE6E5E" w:rsidRPr="00BE6E5E" w:rsidRDefault="00BE6E5E" w:rsidP="00BE6E5E">
      <w:pPr>
        <w:spacing w:before="120" w:after="100" w:afterAutospacing="1" w:line="240" w:lineRule="auto"/>
        <w:jc w:val="center"/>
        <w:rPr>
          <w:rFonts w:eastAsia="Times New Roman" w:cs="Times New Roman"/>
          <w:szCs w:val="24"/>
          <w:lang w:eastAsia="vi-VN"/>
        </w:rPr>
      </w:pPr>
      <w:r w:rsidRPr="00BE6E5E">
        <w:rPr>
          <w:rFonts w:eastAsia="Times New Roman" w:cs="Times New Roman"/>
          <w:b/>
          <w:bCs/>
          <w:szCs w:val="24"/>
          <w:lang w:eastAsia="vi-VN"/>
        </w:rPr>
        <w:lastRenderedPageBreak/>
        <w:t>NGẠCH CÔNG CHỨC QUẢN LÝ THỊ TRƯỜNG, THẨM QUYỀN BAN HÀNH QUYẾT ĐỊNH KIỂM TRA</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b/>
          <w:bCs/>
          <w:szCs w:val="24"/>
          <w:lang w:eastAsia="vi-VN"/>
        </w:rPr>
        <w:t>Điều 3. Ngạch công chức Quản lý thị trường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1. Công chức Quản lý thị trường là người được tuyển dụng vào làm việc tại cơ quan Quản lý thị trường theo quy định của pháp luật về cán bộ, công chức và được đào tạo, bồi dưỡng nghiệp vụ, bổ nhiệm vào các ngạch công chức Quản lý thị trường.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 xml:space="preserve">2. Công chức Quản lý thị trường phải đảm bảo các tiêu chuẩn của </w:t>
      </w:r>
      <w:r w:rsidRPr="00BE6E5E">
        <w:rPr>
          <w:rFonts w:eastAsia="Times New Roman" w:cs="Times New Roman"/>
          <w:szCs w:val="24"/>
          <w:shd w:val="solid" w:color="FFFFFF" w:fill="auto"/>
          <w:lang w:eastAsia="vi-VN"/>
        </w:rPr>
        <w:t>công</w:t>
      </w:r>
      <w:r w:rsidRPr="00BE6E5E">
        <w:rPr>
          <w:rFonts w:eastAsia="Times New Roman" w:cs="Times New Roman"/>
          <w:szCs w:val="24"/>
          <w:lang w:eastAsia="vi-VN"/>
        </w:rPr>
        <w:t xml:space="preserve"> chức theo quy định của pháp luật về cán bộ, công chức và tiêu chuẩn chuyên môn, nghiệp vụ cụ thể theo ngạch công chức Quản lý thị trường.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3. Các ngạch công chức Quản lý thị trường: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a) Kiểm soát viên cao cấp thị trường;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b) Kiểm soát viên chính thị trường;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c) Kiểm soát viên thị trường;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d) Kiểm soát viên trung cấp thị trường.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4. Bộ Nội vụ quy định mã ngạch công chức Quản lý thị trường.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5. Bộ Công Thương quy định tiêu chuẩn chuyên môn, nghiệp vụ các ngạch công chức Quản lý thị trường sau khi thống nhất với Bộ Nội vụ.</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b/>
          <w:bCs/>
          <w:szCs w:val="24"/>
          <w:lang w:eastAsia="vi-VN"/>
        </w:rPr>
        <w:t>Điều 4. Thẩm quyền ban hành quyết định kiểm tra</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1. Người có thẩm quyền ban hành quyết định kiểm tra gồm:</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a) Thủ trưởng cơ quan Quản lý thị trường ở trung ương;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 xml:space="preserve">b) Thủ trưởng </w:t>
      </w:r>
      <w:r w:rsidRPr="00BE6E5E">
        <w:rPr>
          <w:rFonts w:eastAsia="Times New Roman" w:cs="Times New Roman"/>
          <w:szCs w:val="24"/>
          <w:shd w:val="solid" w:color="FFFFFF" w:fill="auto"/>
          <w:lang w:eastAsia="vi-VN"/>
        </w:rPr>
        <w:t>đơn vị</w:t>
      </w:r>
      <w:r w:rsidRPr="00BE6E5E">
        <w:rPr>
          <w:rFonts w:eastAsia="Times New Roman" w:cs="Times New Roman"/>
          <w:szCs w:val="24"/>
          <w:lang w:eastAsia="vi-VN"/>
        </w:rPr>
        <w:t xml:space="preserve"> thuộc cơ quan Quản lý thị trường ở trung ương có </w:t>
      </w:r>
      <w:r w:rsidRPr="00BE6E5E">
        <w:rPr>
          <w:rFonts w:eastAsia="Times New Roman" w:cs="Times New Roman"/>
          <w:szCs w:val="24"/>
          <w:shd w:val="solid" w:color="FFFFFF" w:fill="auto"/>
          <w:lang w:eastAsia="vi-VN"/>
        </w:rPr>
        <w:t>thẩm quyền</w:t>
      </w:r>
      <w:r w:rsidRPr="00BE6E5E">
        <w:rPr>
          <w:rFonts w:eastAsia="Times New Roman" w:cs="Times New Roman"/>
          <w:szCs w:val="24"/>
          <w:lang w:eastAsia="vi-VN"/>
        </w:rPr>
        <w:t xml:space="preserve"> xử phạt vi phạm hành chính;</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c) Thủ trưởng cơ quan Quản lý thị trường ở các tỉnh, thành phố trực thuộc trung ương (sau đây gọi tắt là cơ quan Quản lý thị trường cấp tỉnh);</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 xml:space="preserve">d) </w:t>
      </w:r>
      <w:r w:rsidRPr="00BE6E5E">
        <w:rPr>
          <w:rFonts w:eastAsia="Times New Roman" w:cs="Times New Roman"/>
          <w:szCs w:val="24"/>
          <w:shd w:val="solid" w:color="FFFFFF" w:fill="auto"/>
          <w:lang w:eastAsia="vi-VN"/>
        </w:rPr>
        <w:t>Thủ trưởng</w:t>
      </w:r>
      <w:r w:rsidRPr="00BE6E5E">
        <w:rPr>
          <w:rFonts w:eastAsia="Times New Roman" w:cs="Times New Roman"/>
          <w:szCs w:val="24"/>
          <w:lang w:eastAsia="vi-VN"/>
        </w:rPr>
        <w:t xml:space="preserve"> đơn vị thuộc cơ quan Quản lý thị trường cấp tỉnh có </w:t>
      </w:r>
      <w:r w:rsidRPr="00BE6E5E">
        <w:rPr>
          <w:rFonts w:eastAsia="Times New Roman" w:cs="Times New Roman"/>
          <w:szCs w:val="24"/>
          <w:shd w:val="solid" w:color="FFFFFF" w:fill="auto"/>
          <w:lang w:eastAsia="vi-VN"/>
        </w:rPr>
        <w:t>thẩm quyền</w:t>
      </w:r>
      <w:r w:rsidRPr="00BE6E5E">
        <w:rPr>
          <w:rFonts w:eastAsia="Times New Roman" w:cs="Times New Roman"/>
          <w:szCs w:val="24"/>
          <w:lang w:eastAsia="vi-VN"/>
        </w:rPr>
        <w:t xml:space="preserve"> xử phạt vi phạm hành chính.</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 xml:space="preserve">2. Người có thẩm quyền ban hành quyết định kiểm tra quy định tại khoản 1 Điều này được giao quyền cho cấp phó ban hành quyết định kiểm tra; việc giao quyền ban hành quyết định kiểm tra và việc ban hành quyết định kiểm tra thực hiện theo quy định tại </w:t>
      </w:r>
      <w:bookmarkStart w:id="0" w:name="dc_1"/>
      <w:r w:rsidRPr="00BE6E5E">
        <w:rPr>
          <w:rFonts w:eastAsia="Times New Roman" w:cs="Times New Roman"/>
          <w:szCs w:val="24"/>
          <w:lang w:eastAsia="vi-VN"/>
        </w:rPr>
        <w:t>khoản 2, khoản 3 Điều 21 của Pháp lệnh Quản lý thị trường</w:t>
      </w:r>
      <w:bookmarkEnd w:id="0"/>
      <w:r w:rsidRPr="00BE6E5E">
        <w:rPr>
          <w:rFonts w:eastAsia="Times New Roman" w:cs="Times New Roman"/>
          <w:szCs w:val="24"/>
          <w:lang w:eastAsia="vi-VN"/>
        </w:rPr>
        <w:t>.</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lastRenderedPageBreak/>
        <w:t xml:space="preserve">3. Người có thẩm quyền ban hành quyết định kiểm tra và cấp phó được giao quyền quy định tại khoản 1, khoản 2 Điều này thực hiện </w:t>
      </w:r>
      <w:r w:rsidRPr="00BE6E5E">
        <w:rPr>
          <w:rFonts w:eastAsia="Times New Roman" w:cs="Times New Roman"/>
          <w:szCs w:val="24"/>
          <w:shd w:val="solid" w:color="FFFFFF" w:fill="auto"/>
          <w:lang w:eastAsia="vi-VN"/>
        </w:rPr>
        <w:t>thẩm quyền</w:t>
      </w:r>
      <w:r w:rsidRPr="00BE6E5E">
        <w:rPr>
          <w:rFonts w:eastAsia="Times New Roman" w:cs="Times New Roman"/>
          <w:szCs w:val="24"/>
          <w:lang w:eastAsia="vi-VN"/>
        </w:rPr>
        <w:t xml:space="preserve"> ban hành quyết định kiểm tra trong phạm vi kiểm tra quy định tại </w:t>
      </w:r>
      <w:bookmarkStart w:id="1" w:name="dc_2"/>
      <w:r w:rsidRPr="00BE6E5E">
        <w:rPr>
          <w:rFonts w:eastAsia="Times New Roman" w:cs="Times New Roman"/>
          <w:szCs w:val="24"/>
          <w:lang w:eastAsia="vi-VN"/>
        </w:rPr>
        <w:t>Điều 17 Pháp lệnh Quản lý thị trường</w:t>
      </w:r>
      <w:bookmarkEnd w:id="1"/>
      <w:r w:rsidRPr="00BE6E5E">
        <w:rPr>
          <w:rFonts w:eastAsia="Times New Roman" w:cs="Times New Roman"/>
          <w:szCs w:val="24"/>
          <w:lang w:eastAsia="vi-VN"/>
        </w:rPr>
        <w:t>.</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b/>
          <w:bCs/>
          <w:szCs w:val="24"/>
          <w:lang w:eastAsia="vi-VN"/>
        </w:rPr>
        <w:t>Chương III</w:t>
      </w:r>
    </w:p>
    <w:p w:rsidR="00BE6E5E" w:rsidRPr="00BE6E5E" w:rsidRDefault="00BE6E5E" w:rsidP="00BE6E5E">
      <w:pPr>
        <w:spacing w:before="120" w:after="100" w:afterAutospacing="1" w:line="240" w:lineRule="auto"/>
        <w:jc w:val="center"/>
        <w:rPr>
          <w:rFonts w:eastAsia="Times New Roman" w:cs="Times New Roman"/>
          <w:szCs w:val="24"/>
          <w:lang w:eastAsia="vi-VN"/>
        </w:rPr>
      </w:pPr>
      <w:r w:rsidRPr="00BE6E5E">
        <w:rPr>
          <w:rFonts w:eastAsia="Times New Roman" w:cs="Times New Roman"/>
          <w:b/>
          <w:bCs/>
          <w:szCs w:val="24"/>
          <w:lang w:eastAsia="vi-VN"/>
        </w:rPr>
        <w:t>PHƯƠNG TIỆN LÀM VIỆC VÀ TRANG PHỤC CỦA LỰC LƯỢNG QUẢN LÝ THỊ TRƯỜNG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b/>
          <w:bCs/>
          <w:szCs w:val="24"/>
          <w:lang w:eastAsia="vi-VN"/>
        </w:rPr>
        <w:t>Điều 5. Phương tiện làm việc của lực lượng Quản lý thị trường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 xml:space="preserve">1. Phương tiện làm việc phục vụ công tác kiểm tra, thanh tra chuyên ngành và xử lý vi phạm hành chính của lực lượng Quản lý thị trường gồm: Xe ô tô chở người, xe ô tô tải, xe ô tô bán tải, xe ô tô chuyên dùng, xe mô tô, xuồng cao tốc, máy bộ đàm, phương tiện kỹ thuật nghiệp vụ, thiết bị đo, </w:t>
      </w:r>
      <w:r w:rsidRPr="00BE6E5E">
        <w:rPr>
          <w:rFonts w:eastAsia="Times New Roman" w:cs="Times New Roman"/>
          <w:szCs w:val="24"/>
          <w:shd w:val="solid" w:color="FFFFFF" w:fill="auto"/>
          <w:lang w:eastAsia="vi-VN"/>
        </w:rPr>
        <w:t>kiểm tra</w:t>
      </w:r>
      <w:r w:rsidRPr="00BE6E5E">
        <w:rPr>
          <w:rFonts w:eastAsia="Times New Roman" w:cs="Times New Roman"/>
          <w:szCs w:val="24"/>
          <w:lang w:eastAsia="vi-VN"/>
        </w:rPr>
        <w:t xml:space="preserve"> nhanh, thiết bị chuyên dùng, thiết bị công ng</w:t>
      </w:r>
      <w:r w:rsidRPr="00BE6E5E">
        <w:rPr>
          <w:rFonts w:eastAsia="Times New Roman" w:cs="Times New Roman"/>
          <w:szCs w:val="24"/>
          <w:shd w:val="solid" w:color="FFFFFF" w:fill="auto"/>
          <w:lang w:eastAsia="vi-VN"/>
        </w:rPr>
        <w:t>hệ thông tin</w:t>
      </w:r>
      <w:r w:rsidRPr="00BE6E5E">
        <w:rPr>
          <w:rFonts w:eastAsia="Times New Roman" w:cs="Times New Roman"/>
          <w:szCs w:val="24"/>
          <w:lang w:eastAsia="vi-VN"/>
        </w:rPr>
        <w:t>, điện tử, máy móc, thiết bị văn phòng, các phương tiện, thiết bị theo yêu cầu công tác và theo quy định của pháp luật.</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2. Cơ quan Quản lý thị trường các cấp có trách nhiệm phối hợp trong việc sử dụng phương tiện làm việc để phục vụ công tác kiểm tra, thanh tra chuyên ngành và xử lý vi phạm hành chính của lực lượng Quản lý thị trường.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3. Phương tiện làm việc của lực lượng Quản lý thị trường được quản lý, sử dụng phù hợp với yêu cầu công tác, tiêu chuẩn, định mức và phân cấp theo quy định của pháp luật về quản lý, sử dụng tài sản nhà nước.</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b/>
          <w:bCs/>
          <w:szCs w:val="24"/>
          <w:lang w:eastAsia="vi-VN"/>
        </w:rPr>
        <w:t>Điều 6. Công cụ hỗ trợ trang bị cho lực lượng Quản lý thị trường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 xml:space="preserve">1. Lực lượng Quản lý thị trường được trang bị, sử dụng công cụ hỗ trợ phục vụ công tác kiểm tra, thanh tra chuyên ngành </w:t>
      </w:r>
      <w:r w:rsidRPr="00BE6E5E">
        <w:rPr>
          <w:rFonts w:eastAsia="Times New Roman" w:cs="Times New Roman"/>
          <w:szCs w:val="24"/>
          <w:shd w:val="solid" w:color="FFFFFF" w:fill="auto"/>
          <w:lang w:eastAsia="vi-VN"/>
        </w:rPr>
        <w:t>và</w:t>
      </w:r>
      <w:r w:rsidRPr="00BE6E5E">
        <w:rPr>
          <w:rFonts w:eastAsia="Times New Roman" w:cs="Times New Roman"/>
          <w:szCs w:val="24"/>
          <w:lang w:eastAsia="vi-VN"/>
        </w:rPr>
        <w:t xml:space="preserve"> xử lý vi phạm hành chính.</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2. Việc quản lý, sử dụng công cụ hỗ trợ trang bị cho lực lượng Quản lý thị trường thực hiện theo quy định của pháp luật về quản lý, sử dụng vũ khí, vật liệu nổ và công cụ hỗ trợ.</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b/>
          <w:bCs/>
          <w:szCs w:val="24"/>
          <w:lang w:eastAsia="vi-VN"/>
        </w:rPr>
        <w:t>Điều 7. Phù hiệu Quản lý thị trường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Phù hiệu Quản lý thị trường có mặt phía ngoài nền màu xanh, giữa có ngôi sao vàng 5 cánh nổi trên nền đỏ hình tròn, sát mép phù hiệu có đường viền bằng 2 bông lúa màu vàng, cuống 2 bông lúa gắn với "bánh xe lịch sử" màu vàng, trên mặt bánh xe có hàng chữ quản lý thị trường viết tắt là "QLTT" màu đỏ, xếp cong theo chiều cong của vành bánh xe lịch sử.</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b/>
          <w:bCs/>
          <w:szCs w:val="24"/>
          <w:lang w:eastAsia="vi-VN"/>
        </w:rPr>
        <w:t>Điều 8. Cờ hiệu Quản lý thị trường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Cờ hiệu Quản lý thị trường được làm bằng vải màu xanh thẫm, hình tam giác cân theo tỷ lệ cạnh bên so với cạnh đáy là 5/3; hai cạnh bên có đường viền gắn các sợi tua màu vàng và ở trung tâm có phù hiệu Quản lý thị trường.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b/>
          <w:bCs/>
          <w:szCs w:val="24"/>
          <w:lang w:eastAsia="vi-VN"/>
        </w:rPr>
        <w:t>Điều 9. Cấp hiệu Quản lý thị trường gắn trên ve áo</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lastRenderedPageBreak/>
        <w:t>1. Cấp hiệu gắn trên ve áo hình bình hành, nền màu xanh đen, bề mặt vải có các gân nổi, xung quanh có đường viền nhỏ màu vàng, trên nền có gắn phù hiệu Quản lý thị trường bằng kim loại.</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2. Cấp hiệu gắn trên ve áo được cấp cho công chức làm việc tại cơ quan Quản lý thị trường các cấp.</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b/>
          <w:bCs/>
          <w:szCs w:val="24"/>
          <w:lang w:eastAsia="vi-VN"/>
        </w:rPr>
        <w:t>Điều 10. Cấp hiệu Quản lý thị trường gắn trên vai áo</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1. Cấp hiệu gắn trên vai nền màu xanh đen, bề mặt vải có các gân nổi, xung quanh có đường viền nhỏ màu vàng. Đầu nhỏ cấp hiệu đính khuy bằng kim loại có ngôi sao năm cánh nổi, mép khuy viền bông lúa xung quanh.</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2. Cấp hiệu gắn trên vai của công chức giữ chức vụ lãnh đạo trong cơ quan Quản lý thị trường ở trung ương, cơ quan Quản lý thị trường cấp tỉnh và các đơn vị trực thuộc của cơ quan này gắn sao kim loại màu vàng, vạch kim loại màu vàng và khuy bằng kim loại màu vàng.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3. Cấp hiệu gắn trên vai của công chức không giữ các chức vụ lãnh đạo gắn sao kim loại màu trắng và khuy bằng kim loại màu trắng.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4. Số sao trên cấp hiệu gắn trên vai của các ngạch công chức Quản lý thị trường được quy định như sau:</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a) Kiểm soát viên cao cấp thị trường và tương đương gắn bốn sao;</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b) Kiểm soát viên chính thị trường và tương đương gắn ba sao;</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c) Kiểm soát viên thị trường và tương đương gắn hai sao;</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d) Kiểm soát viên trung cấp thị trường và tương đương gắn một sao.</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5. Số vạch trên cấp hiệu gắn trên vai của công chức giữ các chức vụ lãnh đạo trong cơ quan Quản lý thị trường ở trung ương, cơ quan Quản lý thị trường cấp tỉnh và các đơn vị trực thuộc quy định như sau:</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a) Lãnh đạo cơ quan Quản lý thị trường ở trung ương gắn ba vạch;</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b) Lãnh đạo đơn vị thuộc cơ quan Quản lý thị trường ở trung ương gắn hai vạch;</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c) Lãnh đạo cơ quan Quản lý thị trường cấp tỉnh gắn hai vạch;</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d) Lãnh đạo đơn vị trực thuộc cơ quan Quản lý thị trường cấp tỉnh gắn một vạch.</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b/>
          <w:bCs/>
          <w:szCs w:val="24"/>
          <w:lang w:eastAsia="vi-VN"/>
        </w:rPr>
        <w:t>Điều 11. Biển hiệu Quản lý thị trường</w:t>
      </w:r>
    </w:p>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1. Biển hiệu Quản lý thị trường có đường viền nhỏ xung quanh màu vàng, nền màu xanh đen, phía trái có hình phù hiệu Quản lý thị trường; phía trên bên phải ghi họ tên công chức và số hiệu công chức.</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szCs w:val="24"/>
          <w:lang w:eastAsia="vi-VN"/>
        </w:rPr>
        <w:lastRenderedPageBreak/>
        <w:t>2. Bi</w:t>
      </w:r>
      <w:r w:rsidRPr="00BE6E5E">
        <w:rPr>
          <w:rFonts w:eastAsia="Times New Roman" w:cs="Times New Roman"/>
          <w:szCs w:val="24"/>
          <w:lang w:val="en-US" w:eastAsia="vi-VN"/>
        </w:rPr>
        <w:t>ể</w:t>
      </w:r>
      <w:r w:rsidRPr="00BE6E5E">
        <w:rPr>
          <w:rFonts w:eastAsia="Times New Roman" w:cs="Times New Roman"/>
          <w:szCs w:val="24"/>
          <w:lang w:eastAsia="vi-VN"/>
        </w:rPr>
        <w:t>n hiệu Quản lý thị trường được cấp cho công chức làm việc tại cơ quan Quản lý thị trường các cấp.</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szCs w:val="24"/>
          <w:lang w:eastAsia="vi-VN"/>
        </w:rPr>
        <w:t xml:space="preserve">3. Bộ trưởng Bộ </w:t>
      </w:r>
      <w:r w:rsidRPr="00BE6E5E">
        <w:rPr>
          <w:rFonts w:eastAsia="Times New Roman" w:cs="Times New Roman"/>
          <w:szCs w:val="24"/>
          <w:shd w:val="solid" w:color="FFFFFF" w:fill="auto"/>
          <w:lang w:eastAsia="vi-VN"/>
        </w:rPr>
        <w:t>Công</w:t>
      </w:r>
      <w:r w:rsidRPr="00BE6E5E">
        <w:rPr>
          <w:rFonts w:eastAsia="Times New Roman" w:cs="Times New Roman"/>
          <w:szCs w:val="24"/>
          <w:lang w:eastAsia="vi-VN"/>
        </w:rPr>
        <w:t xml:space="preserve"> Thương quy định số hiệu công chức làm việc tại cơ quan Quản lý thị trường các cấp.</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b/>
          <w:bCs/>
          <w:szCs w:val="24"/>
          <w:lang w:eastAsia="vi-VN"/>
        </w:rPr>
        <w:t>Điều 12. Trang phục Quản lý thị trường</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szCs w:val="24"/>
          <w:lang w:eastAsia="vi-VN"/>
        </w:rPr>
        <w:t>1. Trang phục Quản lý thị trường cấp cho công chức làm việc tại cơ quan Quản lý thị trường các cấp, bao gồm:</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szCs w:val="24"/>
          <w:lang w:eastAsia="vi-VN"/>
        </w:rPr>
        <w:t>a) Áo xuân hè và thu đông cho nam;</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szCs w:val="24"/>
          <w:lang w:eastAsia="vi-VN"/>
        </w:rPr>
        <w:t>b) Áo xuân hè và thu đông cho nữ;</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szCs w:val="24"/>
          <w:lang w:eastAsia="vi-VN"/>
        </w:rPr>
        <w:t>c) Áo k</w:t>
      </w:r>
      <w:r w:rsidRPr="00BE6E5E">
        <w:rPr>
          <w:rFonts w:eastAsia="Times New Roman" w:cs="Times New Roman"/>
          <w:szCs w:val="24"/>
          <w:shd w:val="solid" w:color="FFFFFF" w:fill="auto"/>
          <w:lang w:eastAsia="vi-VN"/>
        </w:rPr>
        <w:t>h</w:t>
      </w:r>
      <w:r w:rsidRPr="00BE6E5E">
        <w:rPr>
          <w:rFonts w:eastAsia="Times New Roman" w:cs="Times New Roman"/>
          <w:szCs w:val="24"/>
          <w:lang w:val="en-US" w:eastAsia="vi-VN"/>
        </w:rPr>
        <w:t>oác</w:t>
      </w:r>
      <w:r w:rsidRPr="00BE6E5E">
        <w:rPr>
          <w:rFonts w:eastAsia="Times New Roman" w:cs="Times New Roman"/>
          <w:szCs w:val="24"/>
          <w:lang w:eastAsia="vi-VN"/>
        </w:rPr>
        <w:t xml:space="preserve"> cho nam;</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szCs w:val="24"/>
          <w:lang w:eastAsia="vi-VN"/>
        </w:rPr>
        <w:t>d) Áo k</w:t>
      </w:r>
      <w:r w:rsidRPr="00BE6E5E">
        <w:rPr>
          <w:rFonts w:eastAsia="Times New Roman" w:cs="Times New Roman"/>
          <w:szCs w:val="24"/>
          <w:shd w:val="solid" w:color="FFFFFF" w:fill="auto"/>
          <w:lang w:eastAsia="vi-VN"/>
        </w:rPr>
        <w:t>h</w:t>
      </w:r>
      <w:r w:rsidRPr="00BE6E5E">
        <w:rPr>
          <w:rFonts w:eastAsia="Times New Roman" w:cs="Times New Roman"/>
          <w:szCs w:val="24"/>
          <w:lang w:val="en-US" w:eastAsia="vi-VN"/>
        </w:rPr>
        <w:t xml:space="preserve">oác </w:t>
      </w:r>
      <w:r w:rsidRPr="00BE6E5E">
        <w:rPr>
          <w:rFonts w:eastAsia="Times New Roman" w:cs="Times New Roman"/>
          <w:szCs w:val="24"/>
          <w:lang w:eastAsia="vi-VN"/>
        </w:rPr>
        <w:t>cho nữ;</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szCs w:val="24"/>
          <w:lang w:eastAsia="vi-VN"/>
        </w:rPr>
        <w:t>đ) Áo măng tô san, áo bông;</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szCs w:val="24"/>
          <w:lang w:eastAsia="vi-VN"/>
        </w:rPr>
        <w:t>e) Quần âu cho nam;</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szCs w:val="24"/>
          <w:lang w:eastAsia="vi-VN"/>
        </w:rPr>
        <w:t>g) Quần âu, váy cho nữ;</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szCs w:val="24"/>
          <w:lang w:eastAsia="vi-VN"/>
        </w:rPr>
        <w:t>h) Mũ kê pi, mũ mềm, mũ bông;</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szCs w:val="24"/>
          <w:lang w:eastAsia="vi-VN"/>
        </w:rPr>
        <w:t>i) B</w:t>
      </w:r>
      <w:r w:rsidRPr="00BE6E5E">
        <w:rPr>
          <w:rFonts w:eastAsia="Times New Roman" w:cs="Times New Roman"/>
          <w:szCs w:val="24"/>
          <w:lang w:val="en-US" w:eastAsia="vi-VN"/>
        </w:rPr>
        <w:t>ộ</w:t>
      </w:r>
      <w:r w:rsidRPr="00BE6E5E">
        <w:rPr>
          <w:rFonts w:eastAsia="Times New Roman" w:cs="Times New Roman"/>
          <w:szCs w:val="24"/>
          <w:lang w:eastAsia="vi-VN"/>
        </w:rPr>
        <w:t xml:space="preserve"> trang phục đại lễ gồm: Áo thu đông, áo k</w:t>
      </w:r>
      <w:r w:rsidRPr="00BE6E5E">
        <w:rPr>
          <w:rFonts w:eastAsia="Times New Roman" w:cs="Times New Roman"/>
          <w:szCs w:val="24"/>
          <w:shd w:val="solid" w:color="FFFFFF" w:fill="auto"/>
          <w:lang w:eastAsia="vi-VN"/>
        </w:rPr>
        <w:t>h</w:t>
      </w:r>
      <w:r w:rsidRPr="00BE6E5E">
        <w:rPr>
          <w:rFonts w:eastAsia="Times New Roman" w:cs="Times New Roman"/>
          <w:szCs w:val="24"/>
          <w:lang w:val="en-US" w:eastAsia="vi-VN"/>
        </w:rPr>
        <w:t>oác</w:t>
      </w:r>
      <w:r w:rsidRPr="00BE6E5E">
        <w:rPr>
          <w:rFonts w:eastAsia="Times New Roman" w:cs="Times New Roman"/>
          <w:szCs w:val="24"/>
          <w:lang w:eastAsia="vi-VN"/>
        </w:rPr>
        <w:t>, cravat, mũ kê pi, quần âu, váy nữ, giầy da;</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szCs w:val="24"/>
          <w:lang w:eastAsia="vi-VN"/>
        </w:rPr>
        <w:t>k) Trang phục khác gồm: Mũ bảo hiểm dùng đi xe máy; thắt lưng; giầy da; dép quai hậu; tất; áo mưa; cặp tài liệu; ủng; găng tay; quần áo bảo hộ lao động; găng tay bảo hộ lao động; mũ bảo hộ lao động.</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szCs w:val="24"/>
          <w:lang w:eastAsia="vi-VN"/>
        </w:rPr>
        <w:t>2. Trang phục Quản lý thị trường cấp cho công chức làm việc tại cơ quan Quản lý thị trường phù hợp với đối tượng, yêu cầu công việc và đặc thù địa lý.</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b/>
          <w:bCs/>
          <w:szCs w:val="24"/>
          <w:lang w:eastAsia="vi-VN"/>
        </w:rPr>
        <w:t xml:space="preserve">Điều 13. Quản </w:t>
      </w:r>
      <w:r w:rsidRPr="00BE6E5E">
        <w:rPr>
          <w:rFonts w:eastAsia="Times New Roman" w:cs="Times New Roman"/>
          <w:b/>
          <w:bCs/>
          <w:szCs w:val="24"/>
          <w:lang w:val="en-US" w:eastAsia="vi-VN"/>
        </w:rPr>
        <w:t>l</w:t>
      </w:r>
      <w:r w:rsidRPr="00BE6E5E">
        <w:rPr>
          <w:rFonts w:eastAsia="Times New Roman" w:cs="Times New Roman"/>
          <w:b/>
          <w:bCs/>
          <w:szCs w:val="24"/>
          <w:lang w:eastAsia="vi-VN"/>
        </w:rPr>
        <w:t>ý, sử dụng phù hiệu, cờ hiệu, cấp hiệu, biển hiệu, trang phục của lực lượng Quản lý thị tr</w:t>
      </w:r>
      <w:r w:rsidRPr="00BE6E5E">
        <w:rPr>
          <w:rFonts w:eastAsia="Times New Roman" w:cs="Times New Roman"/>
          <w:b/>
          <w:bCs/>
          <w:szCs w:val="24"/>
          <w:shd w:val="solid" w:color="FFFFFF" w:fill="auto"/>
          <w:lang w:eastAsia="vi-VN"/>
        </w:rPr>
        <w:t>ườ</w:t>
      </w:r>
      <w:r w:rsidRPr="00BE6E5E">
        <w:rPr>
          <w:rFonts w:eastAsia="Times New Roman" w:cs="Times New Roman"/>
          <w:b/>
          <w:bCs/>
          <w:szCs w:val="24"/>
          <w:lang w:eastAsia="vi-VN"/>
        </w:rPr>
        <w:t>ng</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szCs w:val="24"/>
          <w:lang w:eastAsia="vi-VN"/>
        </w:rPr>
        <w:t xml:space="preserve">Bộ Công Thương quy định mẫu, quy cách, chế độ cấp phát, quản lý, sử dụng phù hiệu, cờ hiệu, cấp hiệu, biển hiệu, trang phục của lực lượng Quản </w:t>
      </w:r>
      <w:r w:rsidRPr="00BE6E5E">
        <w:rPr>
          <w:rFonts w:eastAsia="Times New Roman" w:cs="Times New Roman"/>
          <w:szCs w:val="24"/>
          <w:shd w:val="solid" w:color="FFFFFF" w:fill="auto"/>
          <w:lang w:eastAsia="vi-VN"/>
        </w:rPr>
        <w:t>lý</w:t>
      </w:r>
      <w:r w:rsidRPr="00BE6E5E">
        <w:rPr>
          <w:rFonts w:eastAsia="Times New Roman" w:cs="Times New Roman"/>
          <w:szCs w:val="24"/>
          <w:lang w:eastAsia="vi-VN"/>
        </w:rPr>
        <w:t xml:space="preserve"> thị trư</w:t>
      </w:r>
      <w:r w:rsidRPr="00BE6E5E">
        <w:rPr>
          <w:rFonts w:eastAsia="Times New Roman" w:cs="Times New Roman"/>
          <w:szCs w:val="24"/>
          <w:lang w:val="en-US" w:eastAsia="vi-VN"/>
        </w:rPr>
        <w:t>ờ</w:t>
      </w:r>
      <w:r w:rsidRPr="00BE6E5E">
        <w:rPr>
          <w:rFonts w:eastAsia="Times New Roman" w:cs="Times New Roman"/>
          <w:szCs w:val="24"/>
          <w:lang w:eastAsia="vi-VN"/>
        </w:rPr>
        <w:t>ng.</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b/>
          <w:bCs/>
          <w:szCs w:val="24"/>
          <w:lang w:eastAsia="vi-VN"/>
        </w:rPr>
        <w:t xml:space="preserve">Điều 14. </w:t>
      </w:r>
      <w:r w:rsidRPr="00BE6E5E">
        <w:rPr>
          <w:rFonts w:eastAsia="Times New Roman" w:cs="Times New Roman"/>
          <w:b/>
          <w:bCs/>
          <w:szCs w:val="24"/>
          <w:shd w:val="solid" w:color="FFFFFF" w:fill="auto"/>
          <w:lang w:eastAsia="vi-VN"/>
        </w:rPr>
        <w:t>Kinh</w:t>
      </w:r>
      <w:r w:rsidRPr="00BE6E5E">
        <w:rPr>
          <w:rFonts w:eastAsia="Times New Roman" w:cs="Times New Roman"/>
          <w:b/>
          <w:bCs/>
          <w:szCs w:val="24"/>
          <w:lang w:eastAsia="vi-VN"/>
        </w:rPr>
        <w:t xml:space="preserve"> phí mua sắm, sửa chữa phương tiện làm việc, phù hiệu, cờ hiệu, cấp hiệu, biển hiệu, trang phục của lực lượng Quản lý thị trường</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szCs w:val="24"/>
          <w:lang w:eastAsia="vi-VN"/>
        </w:rPr>
        <w:t>Kinh phí mua sắm, sửa chữa phương tiện làm việc, phù hiệu, cờ hiệu, cấp hiệu, biển hiệu, trang phục của lực lượng Quản lý thị trường được bố trí trong dự toán chi ngân sách nhà nước được cấp có thẩm quyền giao hàng năm hoặc theo đề án, dự án được cấp có thẩm quyền phê duyệt hoặc từ các nguồn khác theo quy định của pháp luật.</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b/>
          <w:bCs/>
          <w:szCs w:val="24"/>
          <w:lang w:eastAsia="vi-VN"/>
        </w:rPr>
        <w:lastRenderedPageBreak/>
        <w:t>Chương IV</w:t>
      </w:r>
    </w:p>
    <w:p w:rsidR="00BE6E5E" w:rsidRPr="00BE6E5E" w:rsidRDefault="00BE6E5E" w:rsidP="00BE6E5E">
      <w:pPr>
        <w:spacing w:before="120" w:after="100" w:afterAutospacing="1" w:line="240" w:lineRule="auto"/>
        <w:jc w:val="center"/>
        <w:rPr>
          <w:rFonts w:eastAsia="Times New Roman" w:cs="Times New Roman"/>
          <w:szCs w:val="24"/>
          <w:lang w:val="en-US" w:eastAsia="vi-VN"/>
        </w:rPr>
      </w:pPr>
      <w:r w:rsidRPr="00BE6E5E">
        <w:rPr>
          <w:rFonts w:eastAsia="Times New Roman" w:cs="Times New Roman"/>
          <w:b/>
          <w:bCs/>
          <w:szCs w:val="24"/>
          <w:lang w:eastAsia="vi-VN"/>
        </w:rPr>
        <w:t>ĐIỀU KHOẢN THI HÀNH</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b/>
          <w:bCs/>
          <w:szCs w:val="24"/>
          <w:lang w:eastAsia="vi-VN"/>
        </w:rPr>
        <w:t>Điều 15. Hi</w:t>
      </w:r>
      <w:r w:rsidRPr="00BE6E5E">
        <w:rPr>
          <w:rFonts w:eastAsia="Times New Roman" w:cs="Times New Roman"/>
          <w:b/>
          <w:bCs/>
          <w:szCs w:val="24"/>
          <w:lang w:val="en-US" w:eastAsia="vi-VN"/>
        </w:rPr>
        <w:t>ệ</w:t>
      </w:r>
      <w:r w:rsidRPr="00BE6E5E">
        <w:rPr>
          <w:rFonts w:eastAsia="Times New Roman" w:cs="Times New Roman"/>
          <w:b/>
          <w:bCs/>
          <w:szCs w:val="24"/>
          <w:lang w:eastAsia="vi-VN"/>
        </w:rPr>
        <w:t xml:space="preserve">u </w:t>
      </w:r>
      <w:r w:rsidRPr="00BE6E5E">
        <w:rPr>
          <w:rFonts w:eastAsia="Times New Roman" w:cs="Times New Roman"/>
          <w:b/>
          <w:bCs/>
          <w:szCs w:val="24"/>
          <w:lang w:val="en-US" w:eastAsia="vi-VN"/>
        </w:rPr>
        <w:t>lự</w:t>
      </w:r>
      <w:r w:rsidRPr="00BE6E5E">
        <w:rPr>
          <w:rFonts w:eastAsia="Times New Roman" w:cs="Times New Roman"/>
          <w:b/>
          <w:bCs/>
          <w:szCs w:val="24"/>
          <w:lang w:eastAsia="vi-VN"/>
        </w:rPr>
        <w:t>c thi hành</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szCs w:val="24"/>
          <w:lang w:eastAsia="vi-VN"/>
        </w:rPr>
        <w:t>Nghị định này có hiệu lực thi hành kể từ ngày 25 tháng 12 năm 2016.</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b/>
          <w:bCs/>
          <w:szCs w:val="24"/>
          <w:shd w:val="solid" w:color="FFFFFF" w:fill="auto"/>
          <w:lang w:eastAsia="vi-VN"/>
        </w:rPr>
        <w:t>Điều</w:t>
      </w:r>
      <w:r w:rsidRPr="00BE6E5E">
        <w:rPr>
          <w:rFonts w:eastAsia="Times New Roman" w:cs="Times New Roman"/>
          <w:b/>
          <w:bCs/>
          <w:szCs w:val="24"/>
          <w:lang w:eastAsia="vi-VN"/>
        </w:rPr>
        <w:t xml:space="preserve"> 16. Trách nhiệm thi hành</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szCs w:val="24"/>
          <w:lang w:eastAsia="vi-VN"/>
        </w:rPr>
        <w:t>1. Bộ trưởng Bộ Công Thương có trách nhiệm tổ chức thực hiện Nghị định này.</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szCs w:val="24"/>
          <w:lang w:eastAsia="vi-VN"/>
        </w:rPr>
        <w:t xml:space="preserve">2. Các Bộ trưởng, Thủ trưởng cơ quan ngang Bộ, Thủ trưởng cơ quan thuộc Chính phủ, Chủ tịch </w:t>
      </w:r>
      <w:r w:rsidRPr="00BE6E5E">
        <w:rPr>
          <w:rFonts w:eastAsia="Times New Roman" w:cs="Times New Roman"/>
          <w:szCs w:val="24"/>
          <w:shd w:val="solid" w:color="FFFFFF" w:fill="auto"/>
          <w:lang w:eastAsia="vi-VN"/>
        </w:rPr>
        <w:t>Ủy ban</w:t>
      </w:r>
      <w:r w:rsidRPr="00BE6E5E">
        <w:rPr>
          <w:rFonts w:eastAsia="Times New Roman" w:cs="Times New Roman"/>
          <w:szCs w:val="24"/>
          <w:lang w:eastAsia="vi-VN"/>
        </w:rPr>
        <w:t xml:space="preserve"> nhân dân các cấp có trách nhiệm thi hành Nghị định này</w:t>
      </w:r>
      <w:r w:rsidRPr="00BE6E5E">
        <w:rPr>
          <w:rFonts w:eastAsia="Times New Roman" w:cs="Times New Roman"/>
          <w:szCs w:val="24"/>
          <w:lang w:val="en-US" w:eastAsia="vi-VN"/>
        </w:rPr>
        <w:t>.</w:t>
      </w:r>
      <w:r w:rsidRPr="00BE6E5E">
        <w:rPr>
          <w:rFonts w:eastAsia="Times New Roman" w:cs="Times New Roman"/>
          <w:szCs w:val="24"/>
          <w:lang w:eastAsia="vi-VN"/>
        </w:rPr>
        <w:t>/.</w:t>
      </w:r>
    </w:p>
    <w:p w:rsidR="00BE6E5E" w:rsidRPr="00BE6E5E" w:rsidRDefault="00BE6E5E" w:rsidP="00BE6E5E">
      <w:pPr>
        <w:spacing w:before="120" w:after="100" w:afterAutospacing="1" w:line="240" w:lineRule="auto"/>
        <w:rPr>
          <w:rFonts w:eastAsia="Times New Roman" w:cs="Times New Roman"/>
          <w:szCs w:val="24"/>
          <w:lang w:val="en-US" w:eastAsia="vi-VN"/>
        </w:rPr>
      </w:pPr>
      <w:r w:rsidRPr="00BE6E5E">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708"/>
        <w:gridCol w:w="4148"/>
      </w:tblGrid>
      <w:tr w:rsidR="00BE6E5E" w:rsidRPr="00BE6E5E" w:rsidTr="00BE6E5E">
        <w:tc>
          <w:tcPr>
            <w:tcW w:w="4708" w:type="dxa"/>
            <w:tcBorders>
              <w:top w:val="nil"/>
              <w:left w:val="nil"/>
              <w:bottom w:val="nil"/>
              <w:right w:val="nil"/>
            </w:tcBorders>
            <w:tcMar>
              <w:top w:w="0" w:type="dxa"/>
              <w:left w:w="108" w:type="dxa"/>
              <w:bottom w:w="0" w:type="dxa"/>
              <w:right w:w="108" w:type="dxa"/>
            </w:tcMar>
            <w:hideMark/>
          </w:tcPr>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b/>
                <w:bCs/>
                <w:i/>
                <w:iCs/>
                <w:szCs w:val="24"/>
                <w:lang w:eastAsia="vi-VN"/>
              </w:rPr>
              <w:t> </w:t>
            </w:r>
          </w:p>
          <w:p w:rsidR="00BE6E5E" w:rsidRPr="00BE6E5E" w:rsidRDefault="00BE6E5E" w:rsidP="00BE6E5E">
            <w:pPr>
              <w:spacing w:before="120" w:after="0" w:line="240" w:lineRule="auto"/>
              <w:rPr>
                <w:rFonts w:eastAsia="Times New Roman" w:cs="Times New Roman"/>
                <w:szCs w:val="24"/>
                <w:lang w:eastAsia="vi-VN"/>
              </w:rPr>
            </w:pPr>
            <w:r w:rsidRPr="00BE6E5E">
              <w:rPr>
                <w:rFonts w:eastAsia="Times New Roman" w:cs="Times New Roman"/>
                <w:b/>
                <w:bCs/>
                <w:i/>
                <w:iCs/>
                <w:szCs w:val="24"/>
                <w:lang w:eastAsia="vi-VN"/>
              </w:rPr>
              <w:t>Nơi nhận:</w:t>
            </w:r>
            <w:r w:rsidRPr="00BE6E5E">
              <w:rPr>
                <w:rFonts w:eastAsia="Times New Roman" w:cs="Times New Roman"/>
                <w:b/>
                <w:bCs/>
                <w:i/>
                <w:iCs/>
                <w:szCs w:val="24"/>
                <w:lang w:eastAsia="vi-VN"/>
              </w:rPr>
              <w:br/>
            </w:r>
            <w:r w:rsidRPr="00BE6E5E">
              <w:rPr>
                <w:rFonts w:eastAsia="Times New Roman" w:cs="Times New Roman"/>
                <w:sz w:val="16"/>
                <w:szCs w:val="24"/>
                <w:lang w:eastAsia="vi-VN"/>
              </w:rPr>
              <w:t>- Ban Bí thư Trung ương Đảng;</w:t>
            </w:r>
            <w:r w:rsidRPr="00BE6E5E">
              <w:rPr>
                <w:rFonts w:eastAsia="Times New Roman" w:cs="Times New Roman"/>
                <w:sz w:val="16"/>
                <w:szCs w:val="24"/>
                <w:lang w:eastAsia="vi-VN"/>
              </w:rPr>
              <w:br/>
              <w:t>- Thủ tướng, các Phó Thủ tướng Chính phủ;</w:t>
            </w:r>
            <w:r w:rsidRPr="00BE6E5E">
              <w:rPr>
                <w:rFonts w:eastAsia="Times New Roman" w:cs="Times New Roman"/>
                <w:sz w:val="16"/>
                <w:szCs w:val="24"/>
                <w:lang w:eastAsia="vi-VN"/>
              </w:rPr>
              <w:br/>
              <w:t>- Các Bộ, cơ quan ngang Bộ, cơ quan thuộc Chính phủ;</w:t>
            </w:r>
            <w:r w:rsidRPr="00BE6E5E">
              <w:rPr>
                <w:rFonts w:eastAsia="Times New Roman" w:cs="Times New Roman"/>
                <w:sz w:val="16"/>
                <w:szCs w:val="24"/>
                <w:lang w:eastAsia="vi-VN"/>
              </w:rPr>
              <w:br/>
              <w:t>- HĐND, UBND các tỉnh, thành phố trực thuộc Trung ương;</w:t>
            </w:r>
            <w:r w:rsidRPr="00BE6E5E">
              <w:rPr>
                <w:rFonts w:eastAsia="Times New Roman" w:cs="Times New Roman"/>
                <w:sz w:val="16"/>
                <w:szCs w:val="24"/>
                <w:lang w:eastAsia="vi-VN"/>
              </w:rPr>
              <w:br/>
              <w:t xml:space="preserve">- </w:t>
            </w:r>
            <w:r w:rsidRPr="00BE6E5E">
              <w:rPr>
                <w:rFonts w:eastAsia="Times New Roman" w:cs="Times New Roman"/>
                <w:sz w:val="16"/>
                <w:szCs w:val="24"/>
                <w:shd w:val="solid" w:color="FFFFFF" w:fill="auto"/>
                <w:lang w:eastAsia="vi-VN"/>
              </w:rPr>
              <w:t>Văn</w:t>
            </w:r>
            <w:r w:rsidRPr="00BE6E5E">
              <w:rPr>
                <w:rFonts w:eastAsia="Times New Roman" w:cs="Times New Roman"/>
                <w:sz w:val="16"/>
                <w:szCs w:val="24"/>
                <w:lang w:eastAsia="vi-VN"/>
              </w:rPr>
              <w:t xml:space="preserve"> phòng Trung ương và các Ban của Đảng;</w:t>
            </w:r>
            <w:r w:rsidRPr="00BE6E5E">
              <w:rPr>
                <w:rFonts w:eastAsia="Times New Roman" w:cs="Times New Roman"/>
                <w:sz w:val="16"/>
                <w:szCs w:val="24"/>
                <w:lang w:eastAsia="vi-VN"/>
              </w:rPr>
              <w:br/>
              <w:t xml:space="preserve">- </w:t>
            </w:r>
            <w:r w:rsidRPr="00BE6E5E">
              <w:rPr>
                <w:rFonts w:eastAsia="Times New Roman" w:cs="Times New Roman"/>
                <w:sz w:val="16"/>
                <w:szCs w:val="24"/>
                <w:shd w:val="solid" w:color="FFFFFF" w:fill="auto"/>
                <w:lang w:eastAsia="vi-VN"/>
              </w:rPr>
              <w:t>Văn</w:t>
            </w:r>
            <w:r w:rsidRPr="00BE6E5E">
              <w:rPr>
                <w:rFonts w:eastAsia="Times New Roman" w:cs="Times New Roman"/>
                <w:sz w:val="16"/>
                <w:szCs w:val="24"/>
                <w:lang w:eastAsia="vi-VN"/>
              </w:rPr>
              <w:t xml:space="preserve"> phòng Tổng Bí thư;</w:t>
            </w:r>
            <w:r w:rsidRPr="00BE6E5E">
              <w:rPr>
                <w:rFonts w:eastAsia="Times New Roman" w:cs="Times New Roman"/>
                <w:sz w:val="16"/>
                <w:szCs w:val="24"/>
                <w:lang w:eastAsia="vi-VN"/>
              </w:rPr>
              <w:br/>
              <w:t xml:space="preserve">- </w:t>
            </w:r>
            <w:r w:rsidRPr="00BE6E5E">
              <w:rPr>
                <w:rFonts w:eastAsia="Times New Roman" w:cs="Times New Roman"/>
                <w:sz w:val="16"/>
                <w:szCs w:val="24"/>
                <w:shd w:val="solid" w:color="FFFFFF" w:fill="auto"/>
                <w:lang w:eastAsia="vi-VN"/>
              </w:rPr>
              <w:t>Văn</w:t>
            </w:r>
            <w:r w:rsidRPr="00BE6E5E">
              <w:rPr>
                <w:rFonts w:eastAsia="Times New Roman" w:cs="Times New Roman"/>
                <w:sz w:val="16"/>
                <w:szCs w:val="24"/>
                <w:lang w:eastAsia="vi-VN"/>
              </w:rPr>
              <w:t xml:space="preserve"> phòng Chủ tịch nước;</w:t>
            </w:r>
            <w:r w:rsidRPr="00BE6E5E">
              <w:rPr>
                <w:rFonts w:eastAsia="Times New Roman" w:cs="Times New Roman"/>
                <w:sz w:val="16"/>
                <w:szCs w:val="24"/>
                <w:lang w:eastAsia="vi-VN"/>
              </w:rPr>
              <w:br/>
              <w:t xml:space="preserve">- Hội đồng Dân tộc và các </w:t>
            </w:r>
            <w:r w:rsidRPr="00BE6E5E">
              <w:rPr>
                <w:rFonts w:eastAsia="Times New Roman" w:cs="Times New Roman"/>
                <w:sz w:val="16"/>
                <w:szCs w:val="24"/>
                <w:shd w:val="solid" w:color="FFFFFF" w:fill="auto"/>
                <w:lang w:eastAsia="vi-VN"/>
              </w:rPr>
              <w:t>Ủy ban</w:t>
            </w:r>
            <w:r w:rsidRPr="00BE6E5E">
              <w:rPr>
                <w:rFonts w:eastAsia="Times New Roman" w:cs="Times New Roman"/>
                <w:sz w:val="16"/>
                <w:szCs w:val="24"/>
                <w:lang w:eastAsia="vi-VN"/>
              </w:rPr>
              <w:t xml:space="preserve"> của Quốc hội;</w:t>
            </w:r>
            <w:r w:rsidRPr="00BE6E5E">
              <w:rPr>
                <w:rFonts w:eastAsia="Times New Roman" w:cs="Times New Roman"/>
                <w:sz w:val="16"/>
                <w:szCs w:val="24"/>
                <w:lang w:eastAsia="vi-VN"/>
              </w:rPr>
              <w:br/>
              <w:t>- Văn phòng Quốc hội;</w:t>
            </w:r>
            <w:r w:rsidRPr="00BE6E5E">
              <w:rPr>
                <w:rFonts w:eastAsia="Times New Roman" w:cs="Times New Roman"/>
                <w:sz w:val="16"/>
                <w:szCs w:val="24"/>
                <w:lang w:eastAsia="vi-VN"/>
              </w:rPr>
              <w:br/>
              <w:t>- Tòa án nhân dân tối cao;</w:t>
            </w:r>
            <w:r w:rsidRPr="00BE6E5E">
              <w:rPr>
                <w:rFonts w:eastAsia="Times New Roman" w:cs="Times New Roman"/>
                <w:sz w:val="16"/>
                <w:szCs w:val="24"/>
                <w:lang w:eastAsia="vi-VN"/>
              </w:rPr>
              <w:br/>
              <w:t>- Viện Kiểm sát nhân dân tối cao;</w:t>
            </w:r>
            <w:r w:rsidRPr="00BE6E5E">
              <w:rPr>
                <w:rFonts w:eastAsia="Times New Roman" w:cs="Times New Roman"/>
                <w:sz w:val="16"/>
                <w:szCs w:val="24"/>
                <w:lang w:eastAsia="vi-VN"/>
              </w:rPr>
              <w:br/>
              <w:t xml:space="preserve">- </w:t>
            </w:r>
            <w:r w:rsidRPr="00BE6E5E">
              <w:rPr>
                <w:rFonts w:eastAsia="Times New Roman" w:cs="Times New Roman"/>
                <w:sz w:val="16"/>
                <w:szCs w:val="24"/>
                <w:shd w:val="solid" w:color="FFFFFF" w:fill="auto"/>
                <w:lang w:eastAsia="vi-VN"/>
              </w:rPr>
              <w:t>Ủy ban</w:t>
            </w:r>
            <w:r w:rsidRPr="00BE6E5E">
              <w:rPr>
                <w:rFonts w:eastAsia="Times New Roman" w:cs="Times New Roman"/>
                <w:sz w:val="16"/>
                <w:szCs w:val="24"/>
                <w:lang w:eastAsia="vi-VN"/>
              </w:rPr>
              <w:t xml:space="preserve"> Giám sát tài chính Quốc gia;</w:t>
            </w:r>
            <w:r w:rsidRPr="00BE6E5E">
              <w:rPr>
                <w:rFonts w:eastAsia="Times New Roman" w:cs="Times New Roman"/>
                <w:sz w:val="16"/>
                <w:szCs w:val="24"/>
                <w:lang w:eastAsia="vi-VN"/>
              </w:rPr>
              <w:br/>
              <w:t>- Kiểm toán Nhà nước;</w:t>
            </w:r>
            <w:r w:rsidRPr="00BE6E5E">
              <w:rPr>
                <w:rFonts w:eastAsia="Times New Roman" w:cs="Times New Roman"/>
                <w:sz w:val="16"/>
                <w:szCs w:val="24"/>
                <w:lang w:eastAsia="vi-VN"/>
              </w:rPr>
              <w:br/>
              <w:t>- Ngân hàng Chính sách xã hội;</w:t>
            </w:r>
            <w:r w:rsidRPr="00BE6E5E">
              <w:rPr>
                <w:rFonts w:eastAsia="Times New Roman" w:cs="Times New Roman"/>
                <w:sz w:val="16"/>
                <w:szCs w:val="24"/>
                <w:lang w:eastAsia="vi-VN"/>
              </w:rPr>
              <w:br/>
              <w:t>- Ngân hàng Phát triển Việt Nam;</w:t>
            </w:r>
            <w:r w:rsidRPr="00BE6E5E">
              <w:rPr>
                <w:rFonts w:eastAsia="Times New Roman" w:cs="Times New Roman"/>
                <w:sz w:val="16"/>
                <w:szCs w:val="24"/>
                <w:lang w:eastAsia="vi-VN"/>
              </w:rPr>
              <w:br/>
              <w:t xml:space="preserve">- </w:t>
            </w:r>
            <w:r w:rsidRPr="00BE6E5E">
              <w:rPr>
                <w:rFonts w:eastAsia="Times New Roman" w:cs="Times New Roman"/>
                <w:sz w:val="16"/>
                <w:szCs w:val="24"/>
                <w:shd w:val="solid" w:color="FFFFFF" w:fill="auto"/>
                <w:lang w:eastAsia="vi-VN"/>
              </w:rPr>
              <w:t>Ủy ban</w:t>
            </w:r>
            <w:r w:rsidRPr="00BE6E5E">
              <w:rPr>
                <w:rFonts w:eastAsia="Times New Roman" w:cs="Times New Roman"/>
                <w:sz w:val="16"/>
                <w:szCs w:val="24"/>
                <w:lang w:eastAsia="vi-VN"/>
              </w:rPr>
              <w:t xml:space="preserve"> Trung ương Mặt trận Tổ quốc Việt Nam;</w:t>
            </w:r>
            <w:r w:rsidRPr="00BE6E5E">
              <w:rPr>
                <w:rFonts w:eastAsia="Times New Roman" w:cs="Times New Roman"/>
                <w:sz w:val="16"/>
                <w:szCs w:val="24"/>
                <w:lang w:eastAsia="vi-VN"/>
              </w:rPr>
              <w:br/>
              <w:t>- Cơ quan Trung ương của các đoàn thể;</w:t>
            </w:r>
            <w:r w:rsidRPr="00BE6E5E">
              <w:rPr>
                <w:rFonts w:eastAsia="Times New Roman" w:cs="Times New Roman"/>
                <w:sz w:val="16"/>
                <w:szCs w:val="24"/>
                <w:lang w:eastAsia="vi-VN"/>
              </w:rPr>
              <w:br/>
              <w:t>- VPCP: BTCN; các PCN, Trợ lý TTg, TGĐ Cổng TTĐT, các Vụ, Cục, đơn vị trực thuộc, Công báo;</w:t>
            </w:r>
            <w:r w:rsidRPr="00BE6E5E">
              <w:rPr>
                <w:rFonts w:eastAsia="Times New Roman" w:cs="Times New Roman"/>
                <w:sz w:val="16"/>
                <w:szCs w:val="24"/>
                <w:lang w:eastAsia="vi-VN"/>
              </w:rPr>
              <w:br/>
              <w:t xml:space="preserve">- Lưu: </w:t>
            </w:r>
            <w:r w:rsidRPr="00BE6E5E">
              <w:rPr>
                <w:rFonts w:eastAsia="Times New Roman" w:cs="Times New Roman"/>
                <w:sz w:val="16"/>
                <w:szCs w:val="24"/>
                <w:shd w:val="solid" w:color="FFFFFF" w:fill="auto"/>
                <w:lang w:eastAsia="vi-VN"/>
              </w:rPr>
              <w:t>Văn</w:t>
            </w:r>
            <w:r w:rsidRPr="00BE6E5E">
              <w:rPr>
                <w:rFonts w:eastAsia="Times New Roman" w:cs="Times New Roman"/>
                <w:sz w:val="16"/>
                <w:szCs w:val="24"/>
                <w:lang w:eastAsia="vi-VN"/>
              </w:rPr>
              <w:t xml:space="preserve"> thư, TCCV (3b).</w:t>
            </w:r>
          </w:p>
        </w:tc>
        <w:tc>
          <w:tcPr>
            <w:tcW w:w="4148" w:type="dxa"/>
            <w:tcBorders>
              <w:top w:val="nil"/>
              <w:left w:val="nil"/>
              <w:bottom w:val="nil"/>
              <w:right w:val="nil"/>
            </w:tcBorders>
            <w:tcMar>
              <w:top w:w="0" w:type="dxa"/>
              <w:left w:w="108" w:type="dxa"/>
              <w:bottom w:w="0" w:type="dxa"/>
              <w:right w:w="108" w:type="dxa"/>
            </w:tcMar>
            <w:hideMark/>
          </w:tcPr>
          <w:p w:rsidR="00BE6E5E" w:rsidRPr="00BE6E5E" w:rsidRDefault="00BE6E5E" w:rsidP="00BE6E5E">
            <w:pPr>
              <w:spacing w:before="120" w:after="0" w:line="240" w:lineRule="auto"/>
              <w:jc w:val="center"/>
              <w:rPr>
                <w:rFonts w:eastAsia="Times New Roman" w:cs="Times New Roman"/>
                <w:szCs w:val="24"/>
                <w:lang w:eastAsia="vi-VN"/>
              </w:rPr>
            </w:pPr>
            <w:r w:rsidRPr="00BE6E5E">
              <w:rPr>
                <w:rFonts w:eastAsia="Times New Roman" w:cs="Times New Roman"/>
                <w:b/>
                <w:bCs/>
                <w:szCs w:val="24"/>
                <w:lang w:eastAsia="vi-VN"/>
              </w:rPr>
              <w:t>TM. CHÍNH PHỦ</w:t>
            </w:r>
            <w:r w:rsidRPr="00BE6E5E">
              <w:rPr>
                <w:rFonts w:eastAsia="Times New Roman" w:cs="Times New Roman"/>
                <w:b/>
                <w:bCs/>
                <w:szCs w:val="24"/>
                <w:lang w:eastAsia="vi-VN"/>
              </w:rPr>
              <w:br/>
              <w:t>THỦ TƯỚNG</w:t>
            </w:r>
            <w:r w:rsidRPr="00BE6E5E">
              <w:rPr>
                <w:rFonts w:eastAsia="Times New Roman" w:cs="Times New Roman"/>
                <w:b/>
                <w:bCs/>
                <w:szCs w:val="24"/>
                <w:lang w:eastAsia="vi-VN"/>
              </w:rPr>
              <w:br/>
            </w:r>
            <w:r w:rsidRPr="00BE6E5E">
              <w:rPr>
                <w:rFonts w:eastAsia="Times New Roman" w:cs="Times New Roman"/>
                <w:b/>
                <w:bCs/>
                <w:szCs w:val="24"/>
                <w:lang w:eastAsia="vi-VN"/>
              </w:rPr>
              <w:br/>
            </w:r>
            <w:r w:rsidRPr="00BE6E5E">
              <w:rPr>
                <w:rFonts w:eastAsia="Times New Roman" w:cs="Times New Roman"/>
                <w:b/>
                <w:bCs/>
                <w:szCs w:val="24"/>
                <w:lang w:eastAsia="vi-VN"/>
              </w:rPr>
              <w:br/>
            </w:r>
            <w:r w:rsidRPr="00BE6E5E">
              <w:rPr>
                <w:rFonts w:eastAsia="Times New Roman" w:cs="Times New Roman"/>
                <w:b/>
                <w:bCs/>
                <w:szCs w:val="24"/>
                <w:lang w:eastAsia="vi-VN"/>
              </w:rPr>
              <w:br/>
            </w:r>
            <w:r w:rsidRPr="00BE6E5E">
              <w:rPr>
                <w:rFonts w:eastAsia="Times New Roman" w:cs="Times New Roman"/>
                <w:b/>
                <w:bCs/>
                <w:szCs w:val="24"/>
                <w:lang w:eastAsia="vi-VN"/>
              </w:rPr>
              <w:br/>
              <w:t>Nguyễn Xuân Phúc</w:t>
            </w:r>
          </w:p>
        </w:tc>
      </w:tr>
    </w:tbl>
    <w:p w:rsidR="00BE6E5E" w:rsidRPr="00BE6E5E" w:rsidRDefault="00BE6E5E" w:rsidP="00BE6E5E">
      <w:pPr>
        <w:spacing w:before="120" w:after="100" w:afterAutospacing="1" w:line="240" w:lineRule="auto"/>
        <w:rPr>
          <w:rFonts w:eastAsia="Times New Roman" w:cs="Times New Roman"/>
          <w:szCs w:val="24"/>
          <w:lang w:eastAsia="vi-VN"/>
        </w:rPr>
      </w:pPr>
      <w:r w:rsidRPr="00BE6E5E">
        <w:rPr>
          <w:rFonts w:eastAsia="Times New Roman" w:cs="Times New Roman"/>
          <w:szCs w:val="24"/>
          <w:lang w:eastAsia="vi-VN"/>
        </w:rPr>
        <w:t> </w:t>
      </w:r>
    </w:p>
    <w:p w:rsidR="00F1132A" w:rsidRPr="00BE6E5E" w:rsidRDefault="00F1132A" w:rsidP="00BE6E5E">
      <w:bookmarkStart w:id="2" w:name="_GoBack"/>
      <w:bookmarkEnd w:id="2"/>
    </w:p>
    <w:sectPr w:rsidR="00F1132A" w:rsidRPr="00BE6E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E6B66"/>
    <w:rsid w:val="00116FA8"/>
    <w:rsid w:val="00134839"/>
    <w:rsid w:val="0014477D"/>
    <w:rsid w:val="002842CD"/>
    <w:rsid w:val="002F006F"/>
    <w:rsid w:val="00322715"/>
    <w:rsid w:val="0037407C"/>
    <w:rsid w:val="00385AA1"/>
    <w:rsid w:val="0046074D"/>
    <w:rsid w:val="00466A32"/>
    <w:rsid w:val="00512C1C"/>
    <w:rsid w:val="00514948"/>
    <w:rsid w:val="0054458D"/>
    <w:rsid w:val="005B2D4F"/>
    <w:rsid w:val="00642070"/>
    <w:rsid w:val="00693441"/>
    <w:rsid w:val="00701753"/>
    <w:rsid w:val="007D1B01"/>
    <w:rsid w:val="008D7C09"/>
    <w:rsid w:val="008E5057"/>
    <w:rsid w:val="009D24F5"/>
    <w:rsid w:val="00A141E2"/>
    <w:rsid w:val="00AC4796"/>
    <w:rsid w:val="00B65E0D"/>
    <w:rsid w:val="00B91B93"/>
    <w:rsid w:val="00BC0217"/>
    <w:rsid w:val="00BD1840"/>
    <w:rsid w:val="00BE6E5E"/>
    <w:rsid w:val="00C462FF"/>
    <w:rsid w:val="00C63F96"/>
    <w:rsid w:val="00D66686"/>
    <w:rsid w:val="00D779B8"/>
    <w:rsid w:val="00EA0A65"/>
    <w:rsid w:val="00EC5F0E"/>
    <w:rsid w:val="00ED753B"/>
    <w:rsid w:val="00EE3293"/>
    <w:rsid w:val="00F1132A"/>
    <w:rsid w:val="00FE31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2017-11-19T04:56:00Z</dcterms:created>
  <dcterms:modified xsi:type="dcterms:W3CDTF">2017-11-19T04:56:00Z</dcterms:modified>
</cp:coreProperties>
</file>